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42" w:rsidRPr="009A4F21" w:rsidRDefault="00A61542" w:rsidP="00A61542">
      <w:pPr>
        <w:spacing w:line="276" w:lineRule="auto"/>
        <w:jc w:val="both"/>
        <w:rPr>
          <w:rFonts w:ascii="Tahoma" w:hAnsi="Tahoma" w:cs="Tahoma"/>
          <w:b/>
          <w:sz w:val="20"/>
          <w:szCs w:val="20"/>
          <w:lang w:val="hy-AM"/>
        </w:rPr>
      </w:pPr>
    </w:p>
    <w:p w:rsidR="00A61542" w:rsidRPr="009A4F21" w:rsidRDefault="00A61542" w:rsidP="00A61542">
      <w:pPr>
        <w:spacing w:line="276" w:lineRule="auto"/>
        <w:jc w:val="both"/>
        <w:rPr>
          <w:rFonts w:ascii="Tahoma" w:hAnsi="Tahoma" w:cs="Tahoma"/>
          <w:b/>
          <w:sz w:val="20"/>
          <w:szCs w:val="20"/>
          <w:lang w:val="hy-AM"/>
        </w:rPr>
      </w:pPr>
    </w:p>
    <w:p w:rsidR="00A61542" w:rsidRPr="009A4F21" w:rsidRDefault="00A61542" w:rsidP="00A61542">
      <w:pPr>
        <w:pStyle w:val="ListParagraph"/>
        <w:spacing w:line="276" w:lineRule="auto"/>
        <w:ind w:left="270" w:right="-329"/>
        <w:jc w:val="center"/>
        <w:rPr>
          <w:rFonts w:ascii="Tahoma" w:hAnsi="Tahoma" w:cs="Tahoma"/>
          <w:b/>
          <w:sz w:val="20"/>
          <w:szCs w:val="20"/>
          <w:lang w:val="hy-AM"/>
        </w:rPr>
      </w:pPr>
      <w:r w:rsidRPr="009A4F21">
        <w:rPr>
          <w:rFonts w:ascii="Tahoma" w:hAnsi="Tahoma" w:cs="Tahoma"/>
          <w:b/>
          <w:sz w:val="20"/>
          <w:szCs w:val="20"/>
          <w:lang w:val="hy-AM"/>
        </w:rPr>
        <w:t>«Մոնո» սակագնային փաթեթի պայմանները</w:t>
      </w:r>
    </w:p>
    <w:p w:rsidR="00A61542" w:rsidRPr="009A4F21" w:rsidRDefault="00A61542" w:rsidP="00A61542">
      <w:pPr>
        <w:spacing w:line="276" w:lineRule="auto"/>
        <w:jc w:val="both"/>
        <w:rPr>
          <w:rFonts w:ascii="Tahoma" w:hAnsi="Tahoma" w:cs="Tahoma"/>
          <w:b/>
          <w:sz w:val="20"/>
          <w:szCs w:val="20"/>
          <w:lang w:val="hy-AM"/>
        </w:rPr>
      </w:pPr>
    </w:p>
    <w:p w:rsidR="00A61542" w:rsidRPr="009A4F21" w:rsidRDefault="00A61542" w:rsidP="00A61542">
      <w:pPr>
        <w:pStyle w:val="ListParagraph"/>
        <w:numPr>
          <w:ilvl w:val="0"/>
          <w:numId w:val="1"/>
        </w:numPr>
        <w:spacing w:line="276" w:lineRule="auto"/>
        <w:ind w:left="0" w:right="-329" w:firstLine="0"/>
        <w:jc w:val="both"/>
        <w:rPr>
          <w:rFonts w:ascii="Tahoma" w:hAnsi="Tahoma" w:cs="Tahoma"/>
          <w:sz w:val="20"/>
          <w:szCs w:val="20"/>
          <w:lang w:val="hy-AM"/>
        </w:rPr>
      </w:pPr>
      <w:r w:rsidRPr="009A4F21">
        <w:rPr>
          <w:rFonts w:ascii="Tahoma" w:hAnsi="Tahoma" w:cs="Tahoma"/>
          <w:sz w:val="20"/>
          <w:szCs w:val="20"/>
          <w:lang w:val="hy-AM"/>
        </w:rPr>
        <w:t>«Մոնո» սակագնային փաթեթը «ՋԻԷՆՍԻ-ԱԼՖԱ» ՓԲԸ կողմից ֆիզիկական անձանց համար նախատեսված GPON տեխնոլոգիայի միջոցով տրամադրվող «Լայնաշերտ ինտերնետ» ծառայո</w:t>
      </w:r>
      <w:r>
        <w:rPr>
          <w:rFonts w:ascii="Tahoma" w:hAnsi="Tahoma" w:cs="Tahoma"/>
          <w:sz w:val="20"/>
          <w:szCs w:val="20"/>
          <w:lang w:val="hy-AM"/>
        </w:rPr>
        <w:t xml:space="preserve">ւթյան սակագնային փաթեթ է </w:t>
      </w:r>
      <w:r w:rsidRPr="009A4F21">
        <w:rPr>
          <w:rFonts w:ascii="Tahoma" w:hAnsi="Tahoma" w:cs="Tahoma"/>
          <w:sz w:val="20"/>
          <w:szCs w:val="20"/>
          <w:lang w:val="hy-AM"/>
        </w:rPr>
        <w:t>և իր մեջ ներառում է հետևյալ սակագները.</w:t>
      </w:r>
    </w:p>
    <w:p w:rsidR="00A61542" w:rsidRPr="009A4F21" w:rsidRDefault="00A61542" w:rsidP="00A61542">
      <w:pPr>
        <w:spacing w:line="276" w:lineRule="auto"/>
        <w:jc w:val="both"/>
        <w:rPr>
          <w:rFonts w:ascii="Tahoma" w:hAnsi="Tahoma" w:cs="Tahoma"/>
          <w:sz w:val="20"/>
          <w:szCs w:val="20"/>
          <w:lang w:val="hy-AM"/>
        </w:rPr>
      </w:pPr>
    </w:p>
    <w:p w:rsidR="00A61542" w:rsidRPr="009A4F21" w:rsidRDefault="00A61542" w:rsidP="00A61542">
      <w:pPr>
        <w:pStyle w:val="ListParagraph"/>
        <w:numPr>
          <w:ilvl w:val="0"/>
          <w:numId w:val="6"/>
        </w:numPr>
        <w:spacing w:line="276" w:lineRule="auto"/>
        <w:jc w:val="both"/>
        <w:rPr>
          <w:rFonts w:ascii="Tahoma" w:hAnsi="Tahoma" w:cs="Tahoma"/>
          <w:sz w:val="20"/>
          <w:szCs w:val="20"/>
          <w:lang w:val="hy-AM"/>
        </w:rPr>
      </w:pPr>
      <w:r w:rsidRPr="009A4F21">
        <w:rPr>
          <w:rFonts w:ascii="Tahoma" w:hAnsi="Tahoma" w:cs="Tahoma"/>
          <w:sz w:val="20"/>
          <w:szCs w:val="20"/>
          <w:lang w:val="hy-AM"/>
        </w:rPr>
        <w:t>Մոնո Մարզային 4900</w:t>
      </w:r>
    </w:p>
    <w:p w:rsidR="00A61542" w:rsidRPr="009A4F21" w:rsidRDefault="00A61542" w:rsidP="00A61542">
      <w:pPr>
        <w:pStyle w:val="ListParagraph"/>
        <w:numPr>
          <w:ilvl w:val="0"/>
          <w:numId w:val="6"/>
        </w:numPr>
        <w:spacing w:line="276" w:lineRule="auto"/>
        <w:jc w:val="both"/>
        <w:rPr>
          <w:rFonts w:ascii="Tahoma" w:hAnsi="Tahoma" w:cs="Tahoma"/>
          <w:sz w:val="20"/>
          <w:szCs w:val="20"/>
          <w:lang w:val="hy-AM"/>
        </w:rPr>
      </w:pPr>
      <w:r w:rsidRPr="009A4F21">
        <w:rPr>
          <w:rFonts w:ascii="Tahoma" w:hAnsi="Tahoma" w:cs="Tahoma"/>
          <w:sz w:val="20"/>
          <w:szCs w:val="20"/>
          <w:lang w:val="hy-AM"/>
        </w:rPr>
        <w:t>Մոնո 6000</w:t>
      </w:r>
    </w:p>
    <w:p w:rsidR="00A61542" w:rsidRPr="009A4F21" w:rsidRDefault="00A61542" w:rsidP="00A61542">
      <w:pPr>
        <w:pStyle w:val="ListParagraph"/>
        <w:numPr>
          <w:ilvl w:val="0"/>
          <w:numId w:val="6"/>
        </w:numPr>
        <w:spacing w:line="276" w:lineRule="auto"/>
        <w:jc w:val="both"/>
        <w:rPr>
          <w:rFonts w:ascii="Tahoma" w:hAnsi="Tahoma" w:cs="Tahoma"/>
          <w:sz w:val="20"/>
          <w:szCs w:val="20"/>
          <w:lang w:val="hy-AM"/>
        </w:rPr>
      </w:pPr>
      <w:r w:rsidRPr="009A4F21">
        <w:rPr>
          <w:rFonts w:ascii="Tahoma" w:hAnsi="Tahoma" w:cs="Tahoma"/>
          <w:sz w:val="20"/>
          <w:szCs w:val="20"/>
          <w:lang w:val="hy-AM"/>
        </w:rPr>
        <w:t>Մոնո 7000</w:t>
      </w:r>
    </w:p>
    <w:p w:rsidR="00A61542" w:rsidRPr="009A4F21" w:rsidRDefault="00A61542" w:rsidP="00A61542">
      <w:pPr>
        <w:pStyle w:val="ListParagraph"/>
        <w:numPr>
          <w:ilvl w:val="0"/>
          <w:numId w:val="6"/>
        </w:numPr>
        <w:spacing w:line="276" w:lineRule="auto"/>
        <w:jc w:val="both"/>
        <w:rPr>
          <w:rFonts w:ascii="Tahoma" w:hAnsi="Tahoma" w:cs="Tahoma"/>
          <w:sz w:val="20"/>
          <w:szCs w:val="20"/>
          <w:lang w:val="hy-AM"/>
        </w:rPr>
      </w:pPr>
      <w:r w:rsidRPr="009A4F21">
        <w:rPr>
          <w:rFonts w:ascii="Tahoma" w:hAnsi="Tahoma" w:cs="Tahoma"/>
          <w:sz w:val="20"/>
          <w:szCs w:val="20"/>
          <w:lang w:val="hy-AM"/>
        </w:rPr>
        <w:t>Մոնո 7500</w:t>
      </w:r>
    </w:p>
    <w:p w:rsidR="00A61542" w:rsidRPr="009A4F21" w:rsidRDefault="00A61542" w:rsidP="00A61542">
      <w:pPr>
        <w:pStyle w:val="ListParagraph"/>
        <w:numPr>
          <w:ilvl w:val="0"/>
          <w:numId w:val="6"/>
        </w:numPr>
        <w:spacing w:line="276" w:lineRule="auto"/>
        <w:jc w:val="both"/>
        <w:rPr>
          <w:rFonts w:ascii="Tahoma" w:hAnsi="Tahoma" w:cs="Tahoma"/>
          <w:sz w:val="20"/>
          <w:szCs w:val="20"/>
          <w:lang w:val="hy-AM"/>
        </w:rPr>
      </w:pPr>
      <w:r w:rsidRPr="009A4F21">
        <w:rPr>
          <w:rFonts w:ascii="Tahoma" w:hAnsi="Tahoma" w:cs="Tahoma"/>
          <w:sz w:val="20"/>
          <w:szCs w:val="20"/>
          <w:lang w:val="hy-AM"/>
        </w:rPr>
        <w:t>Մոնո 8500</w:t>
      </w:r>
    </w:p>
    <w:p w:rsidR="00A61542" w:rsidRPr="009A4F21" w:rsidRDefault="00A61542" w:rsidP="00A61542">
      <w:pPr>
        <w:spacing w:line="276" w:lineRule="auto"/>
        <w:jc w:val="both"/>
        <w:rPr>
          <w:rFonts w:ascii="Tahoma" w:hAnsi="Tahoma" w:cs="Tahoma"/>
          <w:sz w:val="20"/>
          <w:szCs w:val="20"/>
          <w:lang w:val="hy-AM"/>
        </w:rPr>
      </w:pPr>
    </w:p>
    <w:p w:rsidR="00A61542" w:rsidRPr="009A4F21" w:rsidRDefault="00A61542" w:rsidP="00A61542">
      <w:pPr>
        <w:spacing w:line="276" w:lineRule="auto"/>
        <w:ind w:right="-329"/>
        <w:jc w:val="both"/>
        <w:rPr>
          <w:rFonts w:ascii="Tahoma" w:hAnsi="Tahoma" w:cs="Tahoma"/>
          <w:b/>
          <w:sz w:val="20"/>
          <w:szCs w:val="20"/>
          <w:lang w:val="hy-AM"/>
        </w:rPr>
      </w:pPr>
      <w:r w:rsidRPr="009A4F21">
        <w:rPr>
          <w:rFonts w:ascii="Tahoma" w:hAnsi="Tahoma" w:cs="Tahoma"/>
          <w:b/>
          <w:sz w:val="20"/>
          <w:szCs w:val="20"/>
          <w:lang w:val="hy-AM"/>
        </w:rPr>
        <w:t xml:space="preserve"> Աղյուսակ 1. </w:t>
      </w:r>
      <w:r w:rsidRPr="009A4F21">
        <w:rPr>
          <w:rFonts w:ascii="Tahoma" w:hAnsi="Tahoma" w:cs="Tahoma"/>
          <w:sz w:val="20"/>
          <w:szCs w:val="20"/>
          <w:lang w:val="hy-AM"/>
        </w:rPr>
        <w:t>«</w:t>
      </w:r>
      <w:r w:rsidRPr="009A4F21">
        <w:rPr>
          <w:rFonts w:ascii="Tahoma" w:hAnsi="Tahoma" w:cs="Tahoma"/>
          <w:b/>
          <w:sz w:val="20"/>
          <w:szCs w:val="20"/>
          <w:lang w:val="hy-AM"/>
        </w:rPr>
        <w:t>Մոնո</w:t>
      </w:r>
      <w:r w:rsidRPr="009A4F21">
        <w:rPr>
          <w:rFonts w:ascii="Tahoma" w:hAnsi="Tahoma" w:cs="Tahoma"/>
          <w:sz w:val="20"/>
          <w:szCs w:val="20"/>
          <w:lang w:val="hy-AM"/>
        </w:rPr>
        <w:t>»</w:t>
      </w:r>
      <w:r w:rsidRPr="009A4F21">
        <w:rPr>
          <w:rFonts w:ascii="Tahoma" w:hAnsi="Tahoma" w:cs="Tahoma"/>
          <w:b/>
          <w:sz w:val="20"/>
          <w:szCs w:val="20"/>
          <w:lang w:val="hy-AM"/>
        </w:rPr>
        <w:t xml:space="preserve"> սակագնային փաթեթի գնացուցակ</w:t>
      </w:r>
    </w:p>
    <w:p w:rsidR="00A61542" w:rsidRPr="009A4F21" w:rsidRDefault="00A61542" w:rsidP="00A61542">
      <w:pPr>
        <w:spacing w:line="276" w:lineRule="auto"/>
        <w:ind w:right="-329"/>
        <w:jc w:val="both"/>
        <w:rPr>
          <w:rFonts w:ascii="Tahoma" w:hAnsi="Tahoma" w:cs="Tahoma"/>
          <w:b/>
          <w:sz w:val="20"/>
          <w:szCs w:val="20"/>
          <w:lang w:val="hy-AM"/>
        </w:rPr>
      </w:pPr>
      <w:r w:rsidRPr="009A4F21">
        <w:rPr>
          <w:rFonts w:ascii="Tahoma" w:hAnsi="Tahoma" w:cs="Tahoma"/>
          <w:color w:val="000000"/>
          <w:sz w:val="20"/>
          <w:szCs w:val="20"/>
          <w:lang w:val="hy-AM"/>
        </w:rPr>
        <w:t xml:space="preserve">                                                                        Գները ներկայացված են ՀՀ դրամով և ներառում են ԱԱՀ: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18"/>
        <w:gridCol w:w="2299"/>
        <w:gridCol w:w="2522"/>
      </w:tblGrid>
      <w:tr w:rsidR="00A61542" w:rsidRPr="009A4F21" w:rsidTr="00113482">
        <w:trPr>
          <w:trHeight w:val="332"/>
        </w:trPr>
        <w:tc>
          <w:tcPr>
            <w:tcW w:w="2386" w:type="dxa"/>
            <w:tcBorders>
              <w:bottom w:val="single" w:sz="4" w:space="0" w:color="auto"/>
            </w:tcBorders>
            <w:shd w:val="clear" w:color="auto" w:fill="auto"/>
            <w:vAlign w:val="center"/>
          </w:tcPr>
          <w:p w:rsidR="00A61542" w:rsidRPr="009A4F21" w:rsidRDefault="00A61542" w:rsidP="00113482">
            <w:pPr>
              <w:spacing w:line="276" w:lineRule="auto"/>
              <w:jc w:val="center"/>
              <w:rPr>
                <w:rFonts w:ascii="Tahoma" w:hAnsi="Tahoma" w:cs="Tahoma"/>
                <w:b/>
                <w:sz w:val="20"/>
                <w:szCs w:val="20"/>
                <w:lang w:val="hy-AM"/>
              </w:rPr>
            </w:pPr>
            <w:r w:rsidRPr="009A4F21">
              <w:rPr>
                <w:rFonts w:ascii="Tahoma" w:hAnsi="Tahoma" w:cs="Tahoma"/>
                <w:b/>
                <w:sz w:val="20"/>
                <w:szCs w:val="20"/>
                <w:lang w:val="hy-AM"/>
              </w:rPr>
              <w:t>«Մոնո» սակագնային փաթեթ</w:t>
            </w:r>
          </w:p>
        </w:tc>
        <w:tc>
          <w:tcPr>
            <w:tcW w:w="2575" w:type="dxa"/>
            <w:tcBorders>
              <w:bottom w:val="single" w:sz="4" w:space="0" w:color="auto"/>
            </w:tcBorders>
            <w:shd w:val="clear" w:color="auto" w:fill="auto"/>
            <w:vAlign w:val="center"/>
          </w:tcPr>
          <w:p w:rsidR="00A61542" w:rsidRPr="009A4F21" w:rsidRDefault="00A61542" w:rsidP="00113482">
            <w:pPr>
              <w:spacing w:line="276" w:lineRule="auto"/>
              <w:jc w:val="center"/>
              <w:rPr>
                <w:rFonts w:ascii="Tahoma" w:hAnsi="Tahoma" w:cs="Tahoma"/>
                <w:b/>
                <w:sz w:val="20"/>
                <w:szCs w:val="20"/>
                <w:lang w:val="hy-AM"/>
              </w:rPr>
            </w:pPr>
            <w:r w:rsidRPr="009A4F21">
              <w:rPr>
                <w:rFonts w:ascii="Tahoma" w:hAnsi="Tahoma" w:cs="Tahoma"/>
                <w:b/>
                <w:sz w:val="20"/>
                <w:szCs w:val="20"/>
                <w:lang w:val="hy-AM"/>
              </w:rPr>
              <w:t>Արագություն</w:t>
            </w:r>
          </w:p>
        </w:tc>
        <w:tc>
          <w:tcPr>
            <w:tcW w:w="2332" w:type="dxa"/>
            <w:tcBorders>
              <w:bottom w:val="single" w:sz="4" w:space="0" w:color="auto"/>
            </w:tcBorders>
          </w:tcPr>
          <w:p w:rsidR="00A61542" w:rsidRPr="009A4F21" w:rsidRDefault="00A61542" w:rsidP="00113482">
            <w:pPr>
              <w:spacing w:line="276" w:lineRule="auto"/>
              <w:jc w:val="center"/>
              <w:rPr>
                <w:rFonts w:ascii="Tahoma" w:hAnsi="Tahoma" w:cs="Tahoma"/>
                <w:b/>
                <w:sz w:val="20"/>
                <w:szCs w:val="20"/>
                <w:lang w:val="hy-AM"/>
              </w:rPr>
            </w:pPr>
            <w:r w:rsidRPr="009A4F21">
              <w:rPr>
                <w:rFonts w:ascii="Tahoma" w:hAnsi="Tahoma" w:cs="Tahoma"/>
                <w:b/>
                <w:sz w:val="20"/>
                <w:szCs w:val="20"/>
                <w:lang w:val="hy-AM"/>
              </w:rPr>
              <w:t>Ծառայություն «Տուրբո»</w:t>
            </w:r>
          </w:p>
        </w:tc>
        <w:tc>
          <w:tcPr>
            <w:tcW w:w="2597" w:type="dxa"/>
            <w:tcBorders>
              <w:bottom w:val="single" w:sz="4" w:space="0" w:color="auto"/>
            </w:tcBorders>
            <w:shd w:val="clear" w:color="auto" w:fill="auto"/>
            <w:vAlign w:val="center"/>
          </w:tcPr>
          <w:p w:rsidR="00A61542" w:rsidRPr="009A4F21" w:rsidRDefault="00A61542" w:rsidP="00113482">
            <w:pPr>
              <w:spacing w:line="276" w:lineRule="auto"/>
              <w:jc w:val="center"/>
              <w:rPr>
                <w:rFonts w:ascii="Tahoma" w:hAnsi="Tahoma" w:cs="Tahoma"/>
                <w:b/>
                <w:sz w:val="20"/>
                <w:szCs w:val="20"/>
                <w:lang w:val="hy-AM"/>
              </w:rPr>
            </w:pPr>
            <w:r w:rsidRPr="009A4F21">
              <w:rPr>
                <w:rFonts w:ascii="Tahoma" w:hAnsi="Tahoma" w:cs="Tahoma"/>
                <w:b/>
                <w:sz w:val="20"/>
                <w:szCs w:val="20"/>
                <w:lang w:val="hy-AM"/>
              </w:rPr>
              <w:t>Ամսավճար</w:t>
            </w:r>
          </w:p>
        </w:tc>
      </w:tr>
      <w:tr w:rsidR="00A61542" w:rsidRPr="009A4F21" w:rsidTr="00113482">
        <w:trPr>
          <w:trHeight w:val="46"/>
        </w:trPr>
        <w:tc>
          <w:tcPr>
            <w:tcW w:w="2386" w:type="dxa"/>
            <w:tcBorders>
              <w:bottom w:val="single" w:sz="4" w:space="0" w:color="auto"/>
            </w:tcBorders>
            <w:shd w:val="clear" w:color="auto" w:fill="auto"/>
          </w:tcPr>
          <w:p w:rsidR="00A61542" w:rsidRPr="009A4F21" w:rsidRDefault="00A61542" w:rsidP="00113482">
            <w:pPr>
              <w:spacing w:line="276" w:lineRule="auto"/>
              <w:jc w:val="both"/>
              <w:rPr>
                <w:rFonts w:ascii="Tahoma" w:hAnsi="Tahoma" w:cs="Tahoma"/>
                <w:sz w:val="20"/>
                <w:szCs w:val="20"/>
                <w:lang w:val="hy-AM"/>
              </w:rPr>
            </w:pPr>
            <w:r w:rsidRPr="009A4F21">
              <w:rPr>
                <w:rFonts w:ascii="Tahoma" w:hAnsi="Tahoma" w:cs="Tahoma"/>
                <w:sz w:val="20"/>
                <w:szCs w:val="20"/>
                <w:lang w:val="hy-AM"/>
              </w:rPr>
              <w:t>Մոնո Մարզային 4900</w:t>
            </w:r>
            <w:r w:rsidRPr="009A4F21">
              <w:rPr>
                <w:rStyle w:val="FootnoteReference"/>
                <w:rFonts w:ascii="Tahoma" w:hAnsi="Tahoma" w:cs="Tahoma"/>
                <w:sz w:val="20"/>
                <w:szCs w:val="20"/>
                <w:lang w:val="hy-AM"/>
              </w:rPr>
              <w:footnoteReference w:id="1"/>
            </w:r>
          </w:p>
        </w:tc>
        <w:tc>
          <w:tcPr>
            <w:tcW w:w="2575" w:type="dxa"/>
            <w:tcBorders>
              <w:bottom w:val="single" w:sz="4" w:space="0" w:color="auto"/>
            </w:tcBorders>
            <w:shd w:val="clear" w:color="auto" w:fill="auto"/>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6 Մբ/վ</w:t>
            </w:r>
          </w:p>
        </w:tc>
        <w:tc>
          <w:tcPr>
            <w:tcW w:w="2332" w:type="dxa"/>
            <w:tcBorders>
              <w:bottom w:val="single" w:sz="4" w:space="0" w:color="auto"/>
            </w:tcBorders>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Հասանելի</w:t>
            </w:r>
            <w:r w:rsidRPr="009A4F21">
              <w:rPr>
                <w:rStyle w:val="FootnoteReference"/>
                <w:rFonts w:ascii="Tahoma" w:hAnsi="Tahoma" w:cs="Tahoma"/>
                <w:sz w:val="20"/>
                <w:szCs w:val="20"/>
                <w:lang w:val="hy-AM"/>
              </w:rPr>
              <w:footnoteReference w:id="2"/>
            </w:r>
          </w:p>
        </w:tc>
        <w:tc>
          <w:tcPr>
            <w:tcW w:w="2597" w:type="dxa"/>
            <w:tcBorders>
              <w:bottom w:val="single" w:sz="4" w:space="0" w:color="auto"/>
            </w:tcBorders>
            <w:shd w:val="clear" w:color="auto" w:fill="auto"/>
            <w:vAlign w:val="center"/>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4900</w:t>
            </w:r>
          </w:p>
        </w:tc>
      </w:tr>
      <w:tr w:rsidR="00A61542" w:rsidRPr="009A4F21" w:rsidTr="00113482">
        <w:trPr>
          <w:trHeight w:val="46"/>
        </w:trPr>
        <w:tc>
          <w:tcPr>
            <w:tcW w:w="2386" w:type="dxa"/>
            <w:tcBorders>
              <w:bottom w:val="single" w:sz="4" w:space="0" w:color="auto"/>
            </w:tcBorders>
            <w:shd w:val="clear" w:color="auto" w:fill="auto"/>
          </w:tcPr>
          <w:p w:rsidR="00A61542" w:rsidRPr="009A4F21" w:rsidRDefault="00A61542" w:rsidP="00113482">
            <w:pPr>
              <w:spacing w:line="276" w:lineRule="auto"/>
              <w:jc w:val="both"/>
              <w:rPr>
                <w:rFonts w:ascii="Tahoma" w:hAnsi="Tahoma" w:cs="Tahoma"/>
                <w:sz w:val="20"/>
                <w:szCs w:val="20"/>
                <w:lang w:val="hy-AM"/>
              </w:rPr>
            </w:pPr>
            <w:r w:rsidRPr="009A4F21">
              <w:rPr>
                <w:rFonts w:ascii="Tahoma" w:hAnsi="Tahoma" w:cs="Tahoma"/>
                <w:sz w:val="20"/>
                <w:szCs w:val="20"/>
                <w:lang w:val="hy-AM"/>
              </w:rPr>
              <w:t>Մոնո 6000</w:t>
            </w:r>
          </w:p>
        </w:tc>
        <w:tc>
          <w:tcPr>
            <w:tcW w:w="2575" w:type="dxa"/>
            <w:tcBorders>
              <w:bottom w:val="single" w:sz="4" w:space="0" w:color="auto"/>
            </w:tcBorders>
            <w:shd w:val="clear" w:color="auto" w:fill="auto"/>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10 Մբ/վ</w:t>
            </w:r>
          </w:p>
        </w:tc>
        <w:tc>
          <w:tcPr>
            <w:tcW w:w="2332" w:type="dxa"/>
            <w:tcBorders>
              <w:bottom w:val="single" w:sz="4" w:space="0" w:color="auto"/>
            </w:tcBorders>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Հասանելի</w:t>
            </w:r>
          </w:p>
        </w:tc>
        <w:tc>
          <w:tcPr>
            <w:tcW w:w="2597" w:type="dxa"/>
            <w:tcBorders>
              <w:bottom w:val="single" w:sz="4" w:space="0" w:color="auto"/>
            </w:tcBorders>
            <w:shd w:val="clear" w:color="auto" w:fill="auto"/>
            <w:vAlign w:val="center"/>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6000</w:t>
            </w:r>
          </w:p>
        </w:tc>
      </w:tr>
      <w:tr w:rsidR="00A61542" w:rsidRPr="009A4F21" w:rsidTr="00113482">
        <w:trPr>
          <w:trHeight w:val="44"/>
        </w:trPr>
        <w:tc>
          <w:tcPr>
            <w:tcW w:w="2386" w:type="dxa"/>
            <w:tcBorders>
              <w:bottom w:val="single" w:sz="4" w:space="0" w:color="auto"/>
            </w:tcBorders>
            <w:shd w:val="clear" w:color="auto" w:fill="auto"/>
          </w:tcPr>
          <w:p w:rsidR="00A61542" w:rsidRPr="009A4F21" w:rsidRDefault="00A61542" w:rsidP="00113482">
            <w:pPr>
              <w:jc w:val="both"/>
              <w:rPr>
                <w:rFonts w:ascii="Tahoma" w:hAnsi="Tahoma" w:cs="Tahoma"/>
                <w:sz w:val="20"/>
                <w:szCs w:val="20"/>
                <w:lang w:val="hy-AM"/>
              </w:rPr>
            </w:pPr>
            <w:r w:rsidRPr="009A4F21">
              <w:rPr>
                <w:rFonts w:ascii="Tahoma" w:hAnsi="Tahoma" w:cs="Tahoma"/>
                <w:sz w:val="20"/>
                <w:szCs w:val="20"/>
                <w:lang w:val="hy-AM"/>
              </w:rPr>
              <w:t>Մոնո 7000</w:t>
            </w:r>
          </w:p>
        </w:tc>
        <w:tc>
          <w:tcPr>
            <w:tcW w:w="2575" w:type="dxa"/>
            <w:tcBorders>
              <w:bottom w:val="single" w:sz="4" w:space="0" w:color="auto"/>
            </w:tcBorders>
            <w:shd w:val="clear" w:color="auto" w:fill="auto"/>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25 Մբ/վ</w:t>
            </w:r>
          </w:p>
        </w:tc>
        <w:tc>
          <w:tcPr>
            <w:tcW w:w="2332" w:type="dxa"/>
            <w:tcBorders>
              <w:bottom w:val="single" w:sz="4" w:space="0" w:color="auto"/>
            </w:tcBorders>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Հասանելի</w:t>
            </w:r>
          </w:p>
        </w:tc>
        <w:tc>
          <w:tcPr>
            <w:tcW w:w="2597" w:type="dxa"/>
            <w:tcBorders>
              <w:bottom w:val="single" w:sz="4" w:space="0" w:color="auto"/>
            </w:tcBorders>
            <w:shd w:val="clear" w:color="auto" w:fill="auto"/>
            <w:vAlign w:val="center"/>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7000</w:t>
            </w:r>
          </w:p>
        </w:tc>
      </w:tr>
      <w:tr w:rsidR="00A61542" w:rsidRPr="009A4F21" w:rsidTr="00113482">
        <w:trPr>
          <w:trHeight w:val="44"/>
        </w:trPr>
        <w:tc>
          <w:tcPr>
            <w:tcW w:w="2386" w:type="dxa"/>
            <w:shd w:val="clear" w:color="auto" w:fill="auto"/>
          </w:tcPr>
          <w:p w:rsidR="00A61542" w:rsidRPr="009A4F21" w:rsidRDefault="00A61542" w:rsidP="00113482">
            <w:pPr>
              <w:jc w:val="both"/>
              <w:rPr>
                <w:rFonts w:ascii="Tahoma" w:hAnsi="Tahoma" w:cs="Tahoma"/>
                <w:sz w:val="20"/>
                <w:szCs w:val="20"/>
                <w:lang w:val="hy-AM"/>
              </w:rPr>
            </w:pPr>
            <w:r w:rsidRPr="009A4F21">
              <w:rPr>
                <w:rFonts w:ascii="Tahoma" w:hAnsi="Tahoma" w:cs="Tahoma"/>
                <w:sz w:val="20"/>
                <w:szCs w:val="20"/>
                <w:lang w:val="hy-AM"/>
              </w:rPr>
              <w:t>Մոնո 7500</w:t>
            </w:r>
          </w:p>
        </w:tc>
        <w:tc>
          <w:tcPr>
            <w:tcW w:w="2575" w:type="dxa"/>
            <w:shd w:val="clear" w:color="auto" w:fill="auto"/>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45 Մբ/վ</w:t>
            </w:r>
          </w:p>
        </w:tc>
        <w:tc>
          <w:tcPr>
            <w:tcW w:w="2332" w:type="dxa"/>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Հասանելի</w:t>
            </w:r>
          </w:p>
        </w:tc>
        <w:tc>
          <w:tcPr>
            <w:tcW w:w="2597" w:type="dxa"/>
            <w:shd w:val="clear" w:color="auto" w:fill="auto"/>
            <w:vAlign w:val="center"/>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7500</w:t>
            </w:r>
          </w:p>
        </w:tc>
      </w:tr>
      <w:tr w:rsidR="00A61542" w:rsidRPr="009A4F21" w:rsidTr="00113482">
        <w:trPr>
          <w:trHeight w:val="42"/>
        </w:trPr>
        <w:tc>
          <w:tcPr>
            <w:tcW w:w="2386" w:type="dxa"/>
            <w:shd w:val="clear" w:color="auto" w:fill="auto"/>
          </w:tcPr>
          <w:p w:rsidR="00A61542" w:rsidRPr="009A4F21" w:rsidRDefault="00A61542" w:rsidP="00113482">
            <w:pPr>
              <w:jc w:val="both"/>
              <w:rPr>
                <w:rFonts w:ascii="Tahoma" w:hAnsi="Tahoma" w:cs="Tahoma"/>
                <w:sz w:val="20"/>
                <w:szCs w:val="20"/>
                <w:lang w:val="hy-AM"/>
              </w:rPr>
            </w:pPr>
            <w:r w:rsidRPr="009A4F21">
              <w:rPr>
                <w:rFonts w:ascii="Tahoma" w:hAnsi="Tahoma" w:cs="Tahoma"/>
                <w:sz w:val="20"/>
                <w:szCs w:val="20"/>
                <w:lang w:val="hy-AM"/>
              </w:rPr>
              <w:t>Մոնո 8500</w:t>
            </w:r>
          </w:p>
        </w:tc>
        <w:tc>
          <w:tcPr>
            <w:tcW w:w="2575" w:type="dxa"/>
            <w:shd w:val="clear" w:color="auto" w:fill="auto"/>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75 Մբ/վ</w:t>
            </w:r>
          </w:p>
        </w:tc>
        <w:tc>
          <w:tcPr>
            <w:tcW w:w="2332" w:type="dxa"/>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Ներառված</w:t>
            </w:r>
            <w:r w:rsidRPr="009A4F21">
              <w:rPr>
                <w:rStyle w:val="FootnoteReference"/>
                <w:rFonts w:ascii="Tahoma" w:hAnsi="Tahoma" w:cs="Tahoma"/>
                <w:sz w:val="20"/>
                <w:szCs w:val="20"/>
                <w:lang w:val="hy-AM"/>
              </w:rPr>
              <w:footnoteReference w:id="3"/>
            </w:r>
          </w:p>
        </w:tc>
        <w:tc>
          <w:tcPr>
            <w:tcW w:w="2597" w:type="dxa"/>
            <w:shd w:val="clear" w:color="auto" w:fill="auto"/>
            <w:vAlign w:val="center"/>
          </w:tcPr>
          <w:p w:rsidR="00A61542" w:rsidRPr="009A4F21" w:rsidRDefault="00A61542" w:rsidP="00113482">
            <w:pPr>
              <w:spacing w:line="276" w:lineRule="auto"/>
              <w:jc w:val="center"/>
              <w:rPr>
                <w:rFonts w:ascii="Tahoma" w:hAnsi="Tahoma" w:cs="Tahoma"/>
                <w:sz w:val="20"/>
                <w:szCs w:val="20"/>
                <w:lang w:val="hy-AM"/>
              </w:rPr>
            </w:pPr>
            <w:r w:rsidRPr="009A4F21">
              <w:rPr>
                <w:rFonts w:ascii="Tahoma" w:hAnsi="Tahoma" w:cs="Tahoma"/>
                <w:sz w:val="20"/>
                <w:szCs w:val="20"/>
                <w:lang w:val="hy-AM"/>
              </w:rPr>
              <w:t>8500</w:t>
            </w:r>
          </w:p>
        </w:tc>
      </w:tr>
    </w:tbl>
    <w:p w:rsidR="00A61542" w:rsidRPr="009A4F21" w:rsidRDefault="00A61542" w:rsidP="00A61542">
      <w:pPr>
        <w:spacing w:before="240"/>
        <w:jc w:val="both"/>
        <w:rPr>
          <w:rFonts w:ascii="Tahoma" w:hAnsi="Tahoma" w:cs="Tahoma"/>
          <w:sz w:val="20"/>
          <w:szCs w:val="20"/>
          <w:lang w:val="hy-AM"/>
        </w:rPr>
      </w:pPr>
    </w:p>
    <w:p w:rsidR="00A61542" w:rsidRPr="009A4F21" w:rsidRDefault="00A61542" w:rsidP="00A61542">
      <w:pPr>
        <w:pStyle w:val="ListParagraph"/>
        <w:numPr>
          <w:ilvl w:val="1"/>
          <w:numId w:val="3"/>
        </w:numPr>
        <w:spacing w:line="276" w:lineRule="auto"/>
        <w:jc w:val="both"/>
        <w:rPr>
          <w:rFonts w:ascii="Tahoma" w:hAnsi="Tahoma" w:cs="Tahoma"/>
          <w:sz w:val="20"/>
          <w:szCs w:val="20"/>
          <w:lang w:val="hy-AM"/>
        </w:rPr>
      </w:pPr>
      <w:r w:rsidRPr="009A4F21">
        <w:rPr>
          <w:rFonts w:ascii="Tahoma" w:hAnsi="Tahoma" w:cs="Tahoma"/>
          <w:sz w:val="20"/>
          <w:szCs w:val="20"/>
          <w:lang w:val="hy-AM"/>
        </w:rPr>
        <w:t xml:space="preserve">Բաժանորդագրվելով «Մոնո» սակագնային փաթեթին 1 տարով` Բաժանորդը պարտավորվում է Ծառայության ակտիվացման օրվանից 1 տարի (365 օր) շարունակ օգտվել «Մոնո» սակագնային փաթեթից: </w:t>
      </w:r>
    </w:p>
    <w:p w:rsidR="00A61542" w:rsidRPr="009A4F21" w:rsidRDefault="00A61542" w:rsidP="00A61542">
      <w:pPr>
        <w:pStyle w:val="ListParagraph"/>
        <w:spacing w:line="276" w:lineRule="auto"/>
        <w:ind w:left="360"/>
        <w:jc w:val="both"/>
        <w:rPr>
          <w:rFonts w:ascii="Tahoma" w:hAnsi="Tahoma" w:cs="Tahoma"/>
          <w:sz w:val="20"/>
          <w:szCs w:val="20"/>
          <w:lang w:val="hy-AM"/>
        </w:rPr>
      </w:pPr>
      <w:r w:rsidRPr="009A4F21">
        <w:rPr>
          <w:rFonts w:ascii="Tahoma" w:hAnsi="Tahoma" w:cs="Tahoma"/>
          <w:sz w:val="20"/>
          <w:szCs w:val="20"/>
          <w:lang w:val="hy-AM"/>
        </w:rPr>
        <w:t>Մեկ տարով բաժանորդագրության դեպքում Բաժանորդը ստանում է հետևյալ առավելությունները․</w:t>
      </w:r>
    </w:p>
    <w:p w:rsidR="00A61542" w:rsidRPr="00665629" w:rsidRDefault="00A61542" w:rsidP="00665629">
      <w:pPr>
        <w:pStyle w:val="ListParagraph"/>
        <w:numPr>
          <w:ilvl w:val="0"/>
          <w:numId w:val="7"/>
        </w:numPr>
        <w:spacing w:line="276" w:lineRule="auto"/>
        <w:jc w:val="both"/>
        <w:rPr>
          <w:rFonts w:ascii="Tahoma" w:hAnsi="Tahoma" w:cs="Tahoma"/>
          <w:sz w:val="20"/>
          <w:szCs w:val="20"/>
          <w:lang w:val="hy-AM"/>
        </w:rPr>
      </w:pPr>
      <w:r w:rsidRPr="00665629">
        <w:rPr>
          <w:rFonts w:ascii="Tahoma" w:hAnsi="Tahoma" w:cs="Tahoma"/>
          <w:sz w:val="20"/>
          <w:szCs w:val="20"/>
          <w:lang w:val="hy-AM"/>
        </w:rPr>
        <w:t>Բաժանորդը ստանում է իր սակագնային փաթեթի պայմաններով սահմանված ինտերնետի հիմնական արագության համեմատ քառակի ավելի բարձր արագություն Ծառայությունների ակտիվացման պահից սկսած 1 տարի (365 օր) շարունակ</w:t>
      </w:r>
      <w:r w:rsidRPr="009A4F21">
        <w:rPr>
          <w:rStyle w:val="FootnoteReference"/>
          <w:rFonts w:ascii="Tahoma" w:hAnsi="Tahoma" w:cs="Tahoma"/>
          <w:sz w:val="20"/>
          <w:szCs w:val="20"/>
          <w:lang w:val="hy-AM"/>
        </w:rPr>
        <w:footnoteReference w:id="4"/>
      </w:r>
      <w:r w:rsidRPr="00665629">
        <w:rPr>
          <w:rFonts w:ascii="Tahoma" w:hAnsi="Tahoma" w:cs="Tahoma"/>
          <w:sz w:val="20"/>
          <w:szCs w:val="20"/>
          <w:lang w:val="hy-AM"/>
        </w:rPr>
        <w:t>,</w:t>
      </w:r>
    </w:p>
    <w:p w:rsidR="00A61542" w:rsidRPr="009A4F21" w:rsidRDefault="00665629" w:rsidP="00665629">
      <w:pPr>
        <w:pStyle w:val="ListParagraph"/>
        <w:numPr>
          <w:ilvl w:val="0"/>
          <w:numId w:val="7"/>
        </w:numPr>
        <w:spacing w:line="276" w:lineRule="auto"/>
        <w:jc w:val="both"/>
        <w:rPr>
          <w:rFonts w:ascii="Tahoma" w:hAnsi="Tahoma" w:cs="Tahoma"/>
          <w:sz w:val="20"/>
          <w:szCs w:val="20"/>
          <w:lang w:val="hy-AM"/>
        </w:rPr>
      </w:pPr>
      <w:r w:rsidRPr="00665629">
        <w:rPr>
          <w:rFonts w:ascii="Tahoma" w:hAnsi="Tahoma" w:cs="Tahoma"/>
          <w:sz w:val="20"/>
          <w:szCs w:val="20"/>
          <w:lang w:val="hy-AM"/>
        </w:rPr>
        <w:t xml:space="preserve"> </w:t>
      </w:r>
      <w:r w:rsidRPr="00665629">
        <w:rPr>
          <w:rFonts w:ascii="Tahoma" w:hAnsi="Tahoma" w:cs="Tahoma"/>
          <w:sz w:val="20"/>
          <w:szCs w:val="20"/>
          <w:lang w:val="hy-AM"/>
        </w:rPr>
        <w:t>Բացառապես «Մոնո 7000», «Մոնո 7500», «Մոնո 8500» սակագնային փաթեթների շրջանակում Բաժանորդը ստանում է 50% (հիսուն) զեղչ 3 (երեք) ամսվա ամսավճարների համար, այսինքն՝ տվյալ սակագնային փաթեթով նախատեսված հիմնական Ծառայությունները առաջին երեք ամսվա ընթացքում տրամադրվում են 50% զեղչով,</w:t>
      </w:r>
      <w:r w:rsidR="00A61542" w:rsidRPr="009A4F21">
        <w:rPr>
          <w:rFonts w:ascii="Tahoma" w:hAnsi="Tahoma" w:cs="Tahoma"/>
          <w:sz w:val="20"/>
          <w:szCs w:val="20"/>
          <w:lang w:val="hy-AM"/>
        </w:rPr>
        <w:t>։</w:t>
      </w:r>
    </w:p>
    <w:p w:rsidR="00A61542" w:rsidRPr="009A4F21" w:rsidRDefault="00A61542" w:rsidP="00665629">
      <w:pPr>
        <w:pStyle w:val="ListParagraph"/>
        <w:numPr>
          <w:ilvl w:val="0"/>
          <w:numId w:val="7"/>
        </w:numPr>
        <w:spacing w:line="276" w:lineRule="auto"/>
        <w:jc w:val="both"/>
        <w:rPr>
          <w:rFonts w:ascii="Tahoma" w:hAnsi="Tahoma" w:cs="Tahoma"/>
          <w:sz w:val="20"/>
          <w:szCs w:val="20"/>
          <w:lang w:val="hy-AM"/>
        </w:rPr>
      </w:pPr>
      <w:r w:rsidRPr="009A4F21">
        <w:rPr>
          <w:rFonts w:ascii="Tahoma" w:hAnsi="Tahoma" w:cs="Tahoma"/>
          <w:sz w:val="20"/>
          <w:szCs w:val="20"/>
          <w:lang w:val="hy-AM"/>
        </w:rPr>
        <w:lastRenderedPageBreak/>
        <w:t>Wi-Fi Սարքի (ակտիվացված Wi-Fi ծառայությամբ) օգտագործման իրավունք (Wi-Fi Սարքը (ակտիվացված Wi-Fi ծառայությամբ) ներառվում է «Մոնո»</w:t>
      </w:r>
      <w:r>
        <w:rPr>
          <w:rFonts w:ascii="Tahoma" w:hAnsi="Tahoma" w:cs="Tahoma"/>
          <w:sz w:val="20"/>
          <w:szCs w:val="20"/>
          <w:lang w:val="hy-AM"/>
        </w:rPr>
        <w:t>սակագնային փաթեթում)</w:t>
      </w:r>
      <w:r w:rsidRPr="009A4F21">
        <w:rPr>
          <w:rFonts w:ascii="Tahoma" w:hAnsi="Tahoma" w:cs="Tahoma"/>
          <w:sz w:val="20"/>
          <w:szCs w:val="20"/>
          <w:lang w:val="hy-AM"/>
        </w:rPr>
        <w:t>: Բաժանորդը կարող է հրաժարվել սույն կետում սահմանված պայմանից:</w:t>
      </w:r>
    </w:p>
    <w:p w:rsidR="00A61542" w:rsidRPr="009A4F21" w:rsidRDefault="00A61542" w:rsidP="00A61542">
      <w:pPr>
        <w:pStyle w:val="ListParagraph"/>
        <w:spacing w:line="276" w:lineRule="auto"/>
        <w:jc w:val="both"/>
        <w:rPr>
          <w:rFonts w:ascii="Tahoma" w:hAnsi="Tahoma" w:cs="Tahoma"/>
          <w:sz w:val="20"/>
          <w:szCs w:val="20"/>
          <w:lang w:val="hy-AM"/>
        </w:rPr>
      </w:pPr>
      <w:r w:rsidRPr="009A4F21">
        <w:rPr>
          <w:rFonts w:ascii="Tahoma" w:hAnsi="Tahoma" w:cs="Tahoma"/>
          <w:sz w:val="20"/>
          <w:szCs w:val="20"/>
          <w:lang w:val="hy-AM"/>
        </w:rPr>
        <w:t>Wi-Fi Սարքի օգտագործման իրավունքը Բաժանորդի համար պահպանվում է նաև «Էռ-Մաքս» ծառայությունների փաթեթի պայմաններով սահմանված բաժանորդագրության պարտադիր ժամկետի ավարտից հետո, եթե Օպերատորի և Բաժանորդի միջև կնքված պայմանագիրը մնում է ուժի մեջ, և Wi -Fi Սարքն անհրաժեշտ է Բաժանորդին Ծառայություններ մատուցելու համար: Օպերատորի և Բաժանորդի միջև պայմանագրի դադարեցման դեպքում տրամադրված Սարք/երը ենթակա է/են վերադարձման Օպերատորին:</w:t>
      </w:r>
    </w:p>
    <w:p w:rsidR="00A61542" w:rsidRPr="009A4F21" w:rsidRDefault="00A61542" w:rsidP="00A61542">
      <w:pPr>
        <w:pStyle w:val="ListParagraph"/>
        <w:numPr>
          <w:ilvl w:val="1"/>
          <w:numId w:val="3"/>
        </w:numPr>
        <w:spacing w:line="276" w:lineRule="auto"/>
        <w:ind w:right="-270"/>
        <w:jc w:val="both"/>
        <w:rPr>
          <w:rFonts w:ascii="Tahoma" w:hAnsi="Tahoma" w:cs="Tahoma"/>
          <w:color w:val="000000"/>
          <w:sz w:val="20"/>
          <w:szCs w:val="20"/>
          <w:lang w:val="hy-AM"/>
        </w:rPr>
      </w:pPr>
      <w:r w:rsidRPr="009A4F21">
        <w:rPr>
          <w:rFonts w:ascii="Tahoma" w:hAnsi="Tahoma" w:cs="Tahoma"/>
          <w:color w:val="000000"/>
          <w:sz w:val="20"/>
          <w:szCs w:val="20"/>
          <w:lang w:val="hy-AM"/>
        </w:rPr>
        <w:t xml:space="preserve">Գործող Բաժանորդը, պարտադիր տարեկան բաժանորդագրության պայմանով միանալով «Մոնո» սակագնային փաթեթի  որևէ սակագնի կամ վերակնքելով գործող տարեկան բաժանորդագրությամբ պայմանագիրը «Մոնո» սակագնային փաթեթի շրջանակում՝ ստանում է սույն </w:t>
      </w:r>
      <w:r>
        <w:rPr>
          <w:rFonts w:ascii="Tahoma" w:hAnsi="Tahoma" w:cs="Tahoma"/>
          <w:color w:val="000000"/>
          <w:sz w:val="20"/>
          <w:szCs w:val="20"/>
          <w:lang w:val="hy-AM"/>
        </w:rPr>
        <w:t>պայմաններ</w:t>
      </w:r>
      <w:r w:rsidRPr="009A4F21">
        <w:rPr>
          <w:rFonts w:ascii="Tahoma" w:hAnsi="Tahoma" w:cs="Tahoma"/>
          <w:color w:val="000000"/>
          <w:sz w:val="20"/>
          <w:szCs w:val="20"/>
          <w:lang w:val="hy-AM"/>
        </w:rPr>
        <w:t>ի կետ 1․-ի բոլոր ենթակետերով սահմանված պայմանները բացառությամբ ii. Ենթակետով սահմանված պայմանի։</w:t>
      </w:r>
    </w:p>
    <w:p w:rsidR="00A61542" w:rsidRPr="00665629" w:rsidRDefault="00A61542" w:rsidP="00665629">
      <w:pPr>
        <w:pStyle w:val="ListParagraph"/>
        <w:numPr>
          <w:ilvl w:val="0"/>
          <w:numId w:val="7"/>
        </w:numPr>
        <w:spacing w:line="276" w:lineRule="auto"/>
        <w:ind w:right="-329"/>
        <w:jc w:val="both"/>
        <w:rPr>
          <w:rFonts w:ascii="Tahoma" w:hAnsi="Tahoma" w:cs="Tahoma"/>
          <w:color w:val="000000"/>
          <w:sz w:val="20"/>
          <w:szCs w:val="20"/>
          <w:lang w:val="hy-AM"/>
        </w:rPr>
      </w:pPr>
      <w:r w:rsidRPr="00665629">
        <w:rPr>
          <w:rFonts w:ascii="Tahoma" w:hAnsi="Tahoma" w:cs="Tahoma"/>
          <w:color w:val="000000"/>
          <w:sz w:val="20"/>
          <w:szCs w:val="20"/>
          <w:lang w:val="hy-AM"/>
        </w:rPr>
        <w:t>Եթե Բաժանորդը</w:t>
      </w:r>
      <w:r w:rsidRPr="00665629">
        <w:rPr>
          <w:rFonts w:ascii="Tahoma" w:hAnsi="Tahoma" w:cs="Tahoma"/>
          <w:sz w:val="20"/>
          <w:szCs w:val="20"/>
          <w:lang w:val="hy-AM"/>
        </w:rPr>
        <w:t xml:space="preserve"> սույն </w:t>
      </w:r>
      <w:r w:rsidRPr="00665629">
        <w:rPr>
          <w:rFonts w:ascii="Tahoma" w:hAnsi="Tahoma" w:cs="Tahoma"/>
          <w:color w:val="000000"/>
          <w:sz w:val="20"/>
          <w:szCs w:val="20"/>
          <w:lang w:val="hy-AM"/>
        </w:rPr>
        <w:t>պայմանների 1.1. i. կետում</w:t>
      </w:r>
      <w:r w:rsidRPr="00665629">
        <w:rPr>
          <w:rFonts w:ascii="Tahoma" w:hAnsi="Tahoma" w:cs="Tahoma"/>
          <w:sz w:val="20"/>
          <w:szCs w:val="20"/>
          <w:lang w:val="hy-AM"/>
        </w:rPr>
        <w:t xml:space="preserve"> նշված կարգով ստացել է ինտերնետի քառակի արագացում և կատարում է սակագնի/սակագնային փաթեթի փոփոխություն (չդադարեցնելով տարեկան բաժանորդագրության պայմանը)՝ անցում կատարելով «Մոնո» սակագնային փաթեթի մեկ այլ սակագնի, «ԷՌ-Մաքս» ծառայությունների փաթեթների որևէ սակագնային փաթեթի, ապա շարունակում է օգտվել ինտերնետի քառակի արագությունից մինչև դրա համար նախկին սակագնային փաթեթով/սակագնով սահմանված վերջնաժամկետի ավարտը, եթե</w:t>
      </w:r>
      <w:r w:rsidRPr="00665629">
        <w:rPr>
          <w:rFonts w:ascii="Tahoma" w:hAnsi="Tahoma" w:cs="Tahoma"/>
          <w:color w:val="000000"/>
          <w:sz w:val="20"/>
          <w:szCs w:val="20"/>
          <w:lang w:val="hy-AM"/>
        </w:rPr>
        <w:t xml:space="preserve"> նոր սակագնի/սակագնային փաթեթի ամսավճարը առնվազն նախկին սակագնի/սակագնային փաթեթի ամսավճարի չափ է, և անցումը կատարվում է մինչև ինտերնետի քառապատկված արագության գործողության վերջնաժամկետի ավարտը: Յուրաքանչյուր այլ տեսակի սակագնային փաթեթի փոփոխություն կատարելու դեպքում </w:t>
      </w:r>
      <w:r w:rsidRPr="00665629">
        <w:rPr>
          <w:rFonts w:ascii="Tahoma" w:hAnsi="Tahoma" w:cs="Tahoma"/>
          <w:sz w:val="20"/>
          <w:szCs w:val="20"/>
          <w:lang w:val="hy-AM"/>
        </w:rPr>
        <w:t xml:space="preserve">սույն </w:t>
      </w:r>
      <w:r w:rsidRPr="00665629">
        <w:rPr>
          <w:rFonts w:ascii="Tahoma" w:hAnsi="Tahoma" w:cs="Tahoma"/>
          <w:color w:val="000000"/>
          <w:sz w:val="20"/>
          <w:szCs w:val="20"/>
          <w:lang w:val="hy-AM"/>
        </w:rPr>
        <w:t xml:space="preserve">պայմանների 1.1. i. կետով տրամադրված ինտերնետի </w:t>
      </w:r>
      <w:r w:rsidRPr="00665629">
        <w:rPr>
          <w:rFonts w:ascii="Tahoma" w:hAnsi="Tahoma" w:cs="Tahoma"/>
          <w:sz w:val="20"/>
          <w:szCs w:val="20"/>
          <w:lang w:val="hy-AM"/>
        </w:rPr>
        <w:t xml:space="preserve">քառակի </w:t>
      </w:r>
      <w:r w:rsidRPr="00665629">
        <w:rPr>
          <w:rFonts w:ascii="Tahoma" w:hAnsi="Tahoma" w:cs="Tahoma"/>
          <w:color w:val="000000"/>
          <w:sz w:val="20"/>
          <w:szCs w:val="20"/>
          <w:lang w:val="hy-AM"/>
        </w:rPr>
        <w:t>արագության պայմանը դադարում է գործել նոր սակագնային փաթեթի շրջանակում:</w:t>
      </w:r>
    </w:p>
    <w:p w:rsidR="00A61542" w:rsidRPr="009A4F21" w:rsidRDefault="00665629" w:rsidP="00A61542">
      <w:pPr>
        <w:pStyle w:val="ListParagraph"/>
        <w:numPr>
          <w:ilvl w:val="1"/>
          <w:numId w:val="4"/>
        </w:numPr>
        <w:spacing w:line="276" w:lineRule="auto"/>
        <w:ind w:right="-329"/>
        <w:jc w:val="both"/>
        <w:rPr>
          <w:rFonts w:ascii="Tahoma" w:hAnsi="Tahoma" w:cs="Tahoma"/>
          <w:color w:val="000000"/>
          <w:sz w:val="20"/>
          <w:szCs w:val="20"/>
          <w:lang w:val="hy-AM"/>
        </w:rPr>
      </w:pPr>
      <w:r>
        <w:rPr>
          <w:rFonts w:ascii="Tahoma" w:hAnsi="Tahoma" w:cs="Tahoma"/>
          <w:sz w:val="20"/>
          <w:szCs w:val="20"/>
          <w:lang w:val="hy-AM"/>
        </w:rPr>
        <w:t>Եթե Բաժանորդը սույն պայմանով</w:t>
      </w:r>
      <w:r w:rsidRPr="00665629">
        <w:rPr>
          <w:rFonts w:ascii="Tahoma" w:hAnsi="Tahoma" w:cs="Tahoma"/>
          <w:sz w:val="20"/>
          <w:szCs w:val="20"/>
          <w:lang w:val="hy-AM"/>
        </w:rPr>
        <w:t xml:space="preserve"> սահմանված Ծառայությունների՝ 50% զեղչով տրամադրման ժամանակահատվածում կատարում է սակագնային փաթեթի փոփոխություն (չդադարեցնելով տարեկան բաժանորդագրության պայմանը)՝ անցում կատարելով «ԷՌ-Մաքս» ծառայությունների փաթեթի որևէ սակագնային փաթեթի կամ «Մոնո» սակագնային փաթեթի որևէ սակագնի, ապա շարունակում է ՝ 50% զեղչով օգտվել նոր սակագնային փաթեթով տրամադրվող Ծառայություններից մինչև դրանց ՝ 50% զեղչով տրամադրման համար ի սկզբանե սահմանված ժամանակահատվածի ավարտը՝ եթե նոր սակագնի/սակագնային փաթեթի ամսավճարը առնվազն նախկին սակագնային փաթեթի ամսավճարի չափ է: Սույն կետում նշված ժամանակահատվածում «Սմարթ» կամ «Ֆիքսլայն» սակագնային փաթեթներին անցման դեպքում Բաժանորդը դադարում է Ծառայություններից օգտվել ՝ 50% զեղչով:</w:t>
      </w:r>
      <w:bookmarkStart w:id="0" w:name="_GoBack"/>
      <w:bookmarkEnd w:id="0"/>
    </w:p>
    <w:p w:rsidR="00A61542" w:rsidRPr="009A4F21" w:rsidRDefault="00A61542" w:rsidP="00A61542">
      <w:pPr>
        <w:pStyle w:val="ListParagraph"/>
        <w:numPr>
          <w:ilvl w:val="1"/>
          <w:numId w:val="4"/>
        </w:numPr>
        <w:spacing w:before="240"/>
        <w:ind w:right="-211"/>
        <w:jc w:val="both"/>
        <w:rPr>
          <w:rFonts w:ascii="Tahoma" w:hAnsi="Tahoma" w:cs="Tahoma"/>
          <w:sz w:val="20"/>
          <w:szCs w:val="20"/>
          <w:lang w:val="hy-AM"/>
        </w:rPr>
      </w:pPr>
      <w:r w:rsidRPr="009A4F21">
        <w:rPr>
          <w:rFonts w:ascii="Tahoma" w:hAnsi="Tahoma" w:cs="Tahoma"/>
          <w:sz w:val="20"/>
          <w:szCs w:val="20"/>
          <w:lang w:val="hy-AM"/>
        </w:rPr>
        <w:t>Եթե Բաժանորդը անցում է կատարում «Մոնո» սակագնային փաթեթի այն սակագնից, որտեղ ներառված է «Տուրբո»  ծառայությունը մեկ այլ սակագնային փաթեթի, որտեղ  «Տուրբո»  ծառայությունը ներառված չէ, ապա «Տուրբո»  ծառայության համար սահմանված ամսավճարը սկսում է գործել նոր սակագնային փաթեթի շրջանակում՝ անցումը կատարելու պահից սկսած ավտոմատ կերպով: Այս դեպքում բաժանորդն իրավունք ունի հրաժարվել «Տուրբո» ծառայությունից: Եթե ​​բաժանորդը հրաժարվում է «Տուրբո» ծառայությունից, ապա TurboSpeed ​​AX1800 սարքը ապամոնտաժվում է Բաժանորդի բնակարանից՝ ըստ  Օպերատորի կողմից սահմանված ընթացակարգի:</w:t>
      </w:r>
    </w:p>
    <w:p w:rsidR="00A61542" w:rsidRPr="009A4F21" w:rsidRDefault="00A61542" w:rsidP="00A61542">
      <w:pPr>
        <w:pStyle w:val="ListParagraph"/>
        <w:numPr>
          <w:ilvl w:val="1"/>
          <w:numId w:val="4"/>
        </w:numPr>
        <w:spacing w:before="240"/>
        <w:ind w:right="-211"/>
        <w:jc w:val="both"/>
        <w:rPr>
          <w:rFonts w:ascii="Tahoma" w:hAnsi="Tahoma" w:cs="Tahoma"/>
          <w:sz w:val="20"/>
          <w:szCs w:val="20"/>
          <w:lang w:val="hy-AM"/>
        </w:rPr>
      </w:pPr>
      <w:r w:rsidRPr="009A4F21">
        <w:rPr>
          <w:rFonts w:ascii="Tahoma" w:hAnsi="Tahoma" w:cs="Tahoma"/>
          <w:sz w:val="20"/>
          <w:szCs w:val="20"/>
          <w:lang w:val="hy-AM"/>
        </w:rPr>
        <w:t xml:space="preserve">Եթե Բաժանորդը անցում է կատարում «Մոնո» սակագնային փաթեթի որևէ սակագնից, որտեղ ներառված չէ «Տուրբո»  ծառայությունը մեկ այլ սակագնային փաթեթի, որտեղ  «Տուրբո»  ծառայությունը ներառված է, ապա «Տուրբո»  ծառայության համար սահմանված ամսավճարը </w:t>
      </w:r>
      <w:r w:rsidRPr="009A4F21">
        <w:rPr>
          <w:rFonts w:ascii="Tahoma" w:hAnsi="Tahoma" w:cs="Tahoma"/>
          <w:sz w:val="20"/>
          <w:szCs w:val="20"/>
          <w:lang w:val="hy-AM"/>
        </w:rPr>
        <w:lastRenderedPageBreak/>
        <w:t xml:space="preserve">դադարում է գործել նոր սակագնային փաթեթի շրջանակում՝ անցումը կատարելու պահից սկսած ավտոմատ կերպով: </w:t>
      </w:r>
    </w:p>
    <w:p w:rsidR="00A61542" w:rsidRPr="009A4F21" w:rsidRDefault="00A61542" w:rsidP="00A61542">
      <w:pPr>
        <w:pStyle w:val="ListParagraph"/>
        <w:numPr>
          <w:ilvl w:val="1"/>
          <w:numId w:val="4"/>
        </w:numPr>
        <w:spacing w:before="240"/>
        <w:ind w:right="-211"/>
        <w:jc w:val="both"/>
        <w:rPr>
          <w:rFonts w:ascii="Tahoma" w:hAnsi="Tahoma" w:cs="Tahoma"/>
          <w:sz w:val="20"/>
          <w:szCs w:val="20"/>
          <w:lang w:val="hy-AM"/>
        </w:rPr>
      </w:pPr>
      <w:r w:rsidRPr="009A4F21">
        <w:rPr>
          <w:rFonts w:ascii="Tahoma" w:hAnsi="Tahoma" w:cs="Tahoma"/>
          <w:sz w:val="20"/>
          <w:szCs w:val="20"/>
          <w:lang w:val="hy-AM"/>
        </w:rPr>
        <w:t>«Մոնո 8500» գործող սակագնային փաթեթներում ներառված է  «Տուրբո»  ծառայությունը: Տվյալ սակագնային փաթեթների գործող բաժանորդները ավտոմատ կերպով չեն ստանում հնարավորություն օգտվելու «Տուրբո»  ծառայությունից, վերջիններս կարող են օգտվել «Տուրբո»  ծառայությունից ներկայացնելով գրավոր դիմում Օպերատորի Վաճառքի և սպասարկման սրահներում՝ անկախ գործող սակագնային փաթեթի տեսակից (անժամկետ/ 1 տարի պատադիր բաժանորդագրությամբ):</w:t>
      </w:r>
    </w:p>
    <w:p w:rsidR="00A61542" w:rsidRPr="009A4F21" w:rsidRDefault="00A61542" w:rsidP="00A61542">
      <w:pPr>
        <w:pStyle w:val="ListParagraph"/>
        <w:numPr>
          <w:ilvl w:val="1"/>
          <w:numId w:val="4"/>
        </w:numPr>
        <w:spacing w:before="240"/>
        <w:ind w:right="-211"/>
        <w:jc w:val="both"/>
        <w:rPr>
          <w:rFonts w:ascii="Tahoma" w:hAnsi="Tahoma" w:cs="Tahoma"/>
          <w:sz w:val="20"/>
          <w:szCs w:val="20"/>
          <w:lang w:val="hy-AM"/>
        </w:rPr>
      </w:pPr>
      <w:r w:rsidRPr="009A4F21">
        <w:rPr>
          <w:rFonts w:ascii="Tahoma" w:hAnsi="Tahoma" w:cs="Tahoma"/>
          <w:sz w:val="20"/>
          <w:szCs w:val="20"/>
          <w:lang w:val="hy-AM"/>
        </w:rPr>
        <w:t>Բաժանորդն իրավունք ունի ցանկացած պահի հրաժարվել «Տուրբո»  ծառայությունը: Այդ դեպքում Օպերատորը ապամոնտաժում է TurboSpeed ​​AX1800 սարքը Բաժանորդային հասցեից և ծառայության համար սահմանված ամսավճարը դադարում է գործել Բաժանորդի սակագնային փաթեթի շրջանակում:</w:t>
      </w:r>
    </w:p>
    <w:p w:rsidR="00A61542" w:rsidRPr="009A4F21" w:rsidRDefault="00A61542" w:rsidP="00A61542">
      <w:pPr>
        <w:pStyle w:val="ListParagraph"/>
        <w:numPr>
          <w:ilvl w:val="1"/>
          <w:numId w:val="4"/>
        </w:numPr>
        <w:spacing w:before="240"/>
        <w:ind w:right="-211"/>
        <w:jc w:val="both"/>
        <w:rPr>
          <w:rFonts w:ascii="Tahoma" w:hAnsi="Tahoma" w:cs="Tahoma"/>
          <w:sz w:val="20"/>
          <w:szCs w:val="20"/>
          <w:lang w:val="hy-AM"/>
        </w:rPr>
      </w:pPr>
      <w:r w:rsidRPr="009A4F21">
        <w:rPr>
          <w:rFonts w:ascii="Tahoma" w:hAnsi="Tahoma" w:cs="Tahoma"/>
          <w:sz w:val="20"/>
          <w:szCs w:val="20"/>
          <w:lang w:val="hy-AM"/>
        </w:rPr>
        <w:t>Օպերատորի և Բաժանորդի միջև կնքված Բաժանորդային պայմանագրի դադարեցման (միակողմանի կամ երկկողմանի) դեպքում TurboSpeed AX1800 Սարքը ենթակա է վերադարձման Օպերատորին:</w:t>
      </w:r>
    </w:p>
    <w:p w:rsidR="00A61542" w:rsidRPr="009A4F21" w:rsidRDefault="00A61542" w:rsidP="00A61542">
      <w:pPr>
        <w:pStyle w:val="ListParagraph"/>
        <w:numPr>
          <w:ilvl w:val="1"/>
          <w:numId w:val="4"/>
        </w:numPr>
        <w:spacing w:line="276" w:lineRule="auto"/>
        <w:ind w:right="-360"/>
        <w:jc w:val="both"/>
        <w:rPr>
          <w:rFonts w:ascii="Tahoma" w:hAnsi="Tahoma" w:cs="Tahoma"/>
          <w:color w:val="000000"/>
          <w:sz w:val="20"/>
          <w:szCs w:val="20"/>
          <w:lang w:val="hy-AM"/>
        </w:rPr>
      </w:pPr>
      <w:r w:rsidRPr="009A4F21">
        <w:rPr>
          <w:rFonts w:ascii="Tahoma" w:hAnsi="Tahoma" w:cs="Tahoma"/>
          <w:color w:val="000000"/>
          <w:sz w:val="20"/>
          <w:szCs w:val="20"/>
          <w:lang w:val="hy-AM"/>
        </w:rPr>
        <w:t xml:space="preserve"> «Մոնո»</w:t>
      </w:r>
      <w:r w:rsidRPr="009A4F21" w:rsidDel="001671FA">
        <w:rPr>
          <w:rFonts w:ascii="Tahoma" w:hAnsi="Tahoma" w:cs="Tahoma"/>
          <w:color w:val="000000"/>
          <w:sz w:val="20"/>
          <w:szCs w:val="20"/>
          <w:lang w:val="hy-AM"/>
        </w:rPr>
        <w:t xml:space="preserve"> </w:t>
      </w:r>
      <w:r w:rsidRPr="009A4F21">
        <w:rPr>
          <w:rFonts w:ascii="Tahoma" w:hAnsi="Tahoma" w:cs="Tahoma"/>
          <w:color w:val="000000"/>
          <w:sz w:val="20"/>
          <w:szCs w:val="20"/>
          <w:lang w:val="hy-AM"/>
        </w:rPr>
        <w:t xml:space="preserve">սակագնային փաթեթին բաժանորդագրության դեպքում պայմաններով սահմանված կարգով Ծառայությունների մատուցման ժամանակավոր կասեցման կամ վճարումների ուշացման պատճառով Ծառայությունների մատուցման կասեցման դեպքում սակագնային փաթեթին բաժանորդագրության ժամկետը երկարում է Ծառայությունների մատուցման կասեցված ժամանակահատվածի տևողությամբ, սակայն չի երկարում սույն </w:t>
      </w:r>
      <w:r>
        <w:rPr>
          <w:rFonts w:ascii="Tahoma" w:hAnsi="Tahoma" w:cs="Tahoma"/>
          <w:color w:val="000000"/>
          <w:sz w:val="20"/>
          <w:szCs w:val="20"/>
          <w:lang w:val="hy-AM"/>
        </w:rPr>
        <w:t>պայմաններ</w:t>
      </w:r>
      <w:r w:rsidRPr="009A4F21">
        <w:rPr>
          <w:rFonts w:ascii="Tahoma" w:hAnsi="Tahoma" w:cs="Tahoma"/>
          <w:color w:val="000000"/>
          <w:sz w:val="20"/>
          <w:szCs w:val="20"/>
          <w:lang w:val="hy-AM"/>
        </w:rPr>
        <w:t xml:space="preserve">ի կետ 1․1․-ի  i., ii. ենթակետերով տրամադրվող առավելությունների տրամադրման ժամկետը: </w:t>
      </w:r>
    </w:p>
    <w:p w:rsidR="00A61542" w:rsidRPr="009A4F21" w:rsidRDefault="00A61542" w:rsidP="00665629">
      <w:pPr>
        <w:pStyle w:val="ListParagraph"/>
        <w:numPr>
          <w:ilvl w:val="0"/>
          <w:numId w:val="7"/>
        </w:numPr>
        <w:tabs>
          <w:tab w:val="left" w:pos="540"/>
        </w:tabs>
        <w:spacing w:line="276" w:lineRule="auto"/>
        <w:ind w:right="-329" w:hanging="270"/>
        <w:jc w:val="both"/>
        <w:rPr>
          <w:rFonts w:ascii="Tahoma" w:hAnsi="Tahoma" w:cs="Tahoma"/>
          <w:color w:val="000000"/>
          <w:sz w:val="20"/>
          <w:szCs w:val="20"/>
          <w:lang w:val="hy-AM"/>
        </w:rPr>
      </w:pPr>
      <w:r w:rsidRPr="009A4F21">
        <w:rPr>
          <w:rFonts w:ascii="Tahoma" w:hAnsi="Tahoma" w:cs="Tahoma"/>
          <w:color w:val="000000"/>
          <w:sz w:val="20"/>
          <w:szCs w:val="20"/>
          <w:lang w:val="hy-AM"/>
        </w:rPr>
        <w:t>«Մոնո» սակագնային փաթեթին բաժանորդագրության պարտադիր ժամկետը համարվում է ավարտված այն դեպքում, եթե Բաժանորդն օգտվել է մատուցված Ծառայություններից դրանց ակտիվացման օրվանից սկսած առնվազն տասներկու ամիսների (365 օրացուցային օրերի) ընթացքում:</w:t>
      </w:r>
    </w:p>
    <w:p w:rsidR="00A61542" w:rsidRPr="009A4F21" w:rsidRDefault="00A61542" w:rsidP="00A61542">
      <w:pPr>
        <w:pStyle w:val="ListParagraph"/>
        <w:numPr>
          <w:ilvl w:val="1"/>
          <w:numId w:val="5"/>
        </w:numPr>
        <w:spacing w:line="276" w:lineRule="auto"/>
        <w:ind w:left="360" w:right="-329"/>
        <w:jc w:val="both"/>
        <w:rPr>
          <w:rFonts w:ascii="Tahoma" w:hAnsi="Tahoma" w:cs="Tahoma"/>
          <w:color w:val="000000"/>
          <w:sz w:val="20"/>
          <w:szCs w:val="20"/>
          <w:lang w:val="hy-AM"/>
        </w:rPr>
      </w:pPr>
      <w:r w:rsidRPr="009A4F21">
        <w:rPr>
          <w:rFonts w:ascii="Tahoma" w:hAnsi="Tahoma" w:cs="Tahoma"/>
          <w:color w:val="000000"/>
          <w:sz w:val="20"/>
          <w:szCs w:val="20"/>
          <w:lang w:val="hy-AM"/>
        </w:rPr>
        <w:t>Եթե Բաժանորդը բաժանորդագրվել է «Մոնո» սակագնային փաթեթին մեկ տարով և Բաժանորդային պայմանագրի գործողությունը դադարեցվում է՝ Բաժանորդի գործողությամբ կամ անգործությամբ պայմանավորված մինչև սահմանված պարտադիր ժամկետի ավարտը, ապա Բաժանորդը պարտավորվում է Օպերատորին ամբողջությամբ վճարել ընթացիկ պարտքը և տուգանք 15 000 (տասնհինգ հազար) ՀՀ դրամի չափով: Ֆիզիկական անձանց համար- Բաժանորդի կողմից Բաժանորդային պայմանագրից միակողմանի հրաժարման դեպքում Օպերատորի կողմից Բաժանորդային պայմանագրի լուծում կատարվում է բացառապես Բաժանորդի կողմից մինչև Բաժանորդային պայմանագրի լուծման (դադարեցման) օրը իրեն մատուցված Ծառայությունների արժեքի, ներառյալ ամսական բաժանորդային վճարի, ինչպես նաև Բաժանորդային պայմանագրի միակողմանի լուծման համար Օպերատորի կողմից նախատեսված այլ վճարումների (տույժերը, տուգանքները, հրաժարագին), եթե այդպիսիք առկա են, իրականացման դեպքում:</w:t>
      </w:r>
    </w:p>
    <w:p w:rsidR="00A61542" w:rsidRPr="009A4F21" w:rsidRDefault="00A61542" w:rsidP="00A61542">
      <w:pPr>
        <w:rPr>
          <w:rFonts w:ascii="Tahoma" w:hAnsi="Tahoma" w:cs="Tahoma"/>
          <w:sz w:val="20"/>
          <w:szCs w:val="20"/>
          <w:lang w:val="hy-AM"/>
        </w:rPr>
      </w:pPr>
    </w:p>
    <w:p w:rsidR="00C04C33" w:rsidRPr="00A61542" w:rsidRDefault="00665629">
      <w:pPr>
        <w:rPr>
          <w:lang w:val="hy-AM"/>
        </w:rPr>
      </w:pPr>
    </w:p>
    <w:sectPr w:rsidR="00C04C33" w:rsidRPr="00A61542">
      <w:head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42" w:rsidRDefault="00A61542" w:rsidP="00A61542">
      <w:r>
        <w:separator/>
      </w:r>
    </w:p>
  </w:endnote>
  <w:endnote w:type="continuationSeparator" w:id="0">
    <w:p w:rsidR="00A61542" w:rsidRDefault="00A61542" w:rsidP="00A6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42" w:rsidRDefault="00A61542" w:rsidP="00A61542">
      <w:r>
        <w:separator/>
      </w:r>
    </w:p>
  </w:footnote>
  <w:footnote w:type="continuationSeparator" w:id="0">
    <w:p w:rsidR="00A61542" w:rsidRDefault="00A61542" w:rsidP="00A61542">
      <w:r>
        <w:continuationSeparator/>
      </w:r>
    </w:p>
  </w:footnote>
  <w:footnote w:id="1">
    <w:p w:rsidR="00A61542" w:rsidRPr="00E22B38" w:rsidRDefault="00A61542" w:rsidP="00A61542">
      <w:pPr>
        <w:spacing w:line="276" w:lineRule="auto"/>
        <w:jc w:val="both"/>
        <w:rPr>
          <w:rFonts w:ascii="Sylfaen" w:hAnsi="Sylfaen"/>
          <w:sz w:val="16"/>
          <w:szCs w:val="16"/>
          <w:lang w:val="hy-AM"/>
        </w:rPr>
      </w:pPr>
      <w:r w:rsidRPr="00E22B38">
        <w:rPr>
          <w:rFonts w:ascii="Sylfaen" w:hAnsi="Sylfaen"/>
          <w:sz w:val="14"/>
          <w:szCs w:val="16"/>
          <w:vertAlign w:val="superscript"/>
          <w:lang w:val="hy-AM"/>
        </w:rPr>
        <w:footnoteRef/>
      </w:r>
      <w:r w:rsidRPr="00E22B38">
        <w:rPr>
          <w:rFonts w:ascii="Sylfaen" w:hAnsi="Sylfaen"/>
          <w:sz w:val="14"/>
          <w:szCs w:val="16"/>
          <w:lang w:val="hy-AM"/>
        </w:rPr>
        <w:t xml:space="preserve"> Մոնո Մարզային 490</w:t>
      </w:r>
      <w:r>
        <w:rPr>
          <w:rFonts w:ascii="Sylfaen" w:hAnsi="Sylfaen"/>
          <w:sz w:val="14"/>
          <w:szCs w:val="16"/>
          <w:lang w:val="hy-AM"/>
        </w:rPr>
        <w:t>0 սակագնային փաթեթին հնարավոր չէ միանալ Երևան քաղաքում։</w:t>
      </w:r>
    </w:p>
  </w:footnote>
  <w:footnote w:id="2">
    <w:p w:rsidR="00A61542" w:rsidRPr="007A0C7E" w:rsidRDefault="00A61542" w:rsidP="00A61542">
      <w:pPr>
        <w:pStyle w:val="FootnoteText"/>
        <w:tabs>
          <w:tab w:val="left" w:pos="9900"/>
        </w:tabs>
        <w:jc w:val="both"/>
        <w:rPr>
          <w:lang w:val="hy-AM"/>
        </w:rPr>
      </w:pPr>
      <w:r w:rsidRPr="007A0C7E">
        <w:rPr>
          <w:rFonts w:ascii="Sylfaen" w:hAnsi="Sylfaen"/>
          <w:sz w:val="14"/>
          <w:szCs w:val="16"/>
          <w:vertAlign w:val="superscript"/>
          <w:lang w:val="hy-AM"/>
        </w:rPr>
        <w:footnoteRef/>
      </w:r>
      <w:r w:rsidRPr="007A0C7E">
        <w:rPr>
          <w:rFonts w:ascii="Sylfaen" w:hAnsi="Sylfaen"/>
          <w:sz w:val="14"/>
          <w:szCs w:val="16"/>
          <w:vertAlign w:val="superscript"/>
          <w:lang w:val="hy-AM"/>
        </w:rPr>
        <w:t xml:space="preserve"> </w:t>
      </w:r>
      <w:r w:rsidRPr="007A0C7E">
        <w:rPr>
          <w:rFonts w:ascii="Sylfaen" w:hAnsi="Sylfaen"/>
          <w:sz w:val="14"/>
          <w:szCs w:val="16"/>
          <w:lang w:val="hy-AM"/>
        </w:rPr>
        <w:t xml:space="preserve">Եթե </w:t>
      </w:r>
      <w:r w:rsidRPr="007A0C7E">
        <w:rPr>
          <w:rFonts w:ascii="Sylfaen" w:hAnsi="Sylfaen"/>
          <w:sz w:val="14"/>
          <w:szCs w:val="16"/>
          <w:lang w:val="hy-AM"/>
        </w:rPr>
        <w:t>որևէ հավելյալ ծառայություն հասանելի է, ապա հնարավոր է ակտիվացնել տվյալ հավելյալ ծառայո</w:t>
      </w:r>
      <w:r>
        <w:rPr>
          <w:rFonts w:ascii="Sylfaen" w:hAnsi="Sylfaen"/>
          <w:sz w:val="14"/>
          <w:szCs w:val="16"/>
          <w:lang w:val="hy-AM"/>
        </w:rPr>
        <w:t xml:space="preserve">ւթյունը տվյալ սակագնային փաթեթի </w:t>
      </w:r>
      <w:r w:rsidRPr="007A0C7E">
        <w:rPr>
          <w:rFonts w:ascii="Sylfaen" w:hAnsi="Sylfaen"/>
          <w:sz w:val="14"/>
          <w:szCs w:val="16"/>
          <w:lang w:val="hy-AM"/>
        </w:rPr>
        <w:t>շրջանակներում՝ վճարելով սահմանված ամսավճարը:</w:t>
      </w:r>
    </w:p>
  </w:footnote>
  <w:footnote w:id="3">
    <w:p w:rsidR="00A61542" w:rsidRPr="00EE69B8" w:rsidRDefault="00A61542" w:rsidP="00A61542">
      <w:pPr>
        <w:pStyle w:val="FootnoteText"/>
        <w:jc w:val="both"/>
        <w:rPr>
          <w:rFonts w:ascii="Sylfaen" w:hAnsi="Sylfaen"/>
          <w:sz w:val="14"/>
          <w:szCs w:val="16"/>
          <w:lang w:val="hy-AM"/>
        </w:rPr>
      </w:pPr>
      <w:r w:rsidRPr="00EE69B8">
        <w:rPr>
          <w:rFonts w:ascii="Sylfaen" w:hAnsi="Sylfaen"/>
          <w:sz w:val="14"/>
          <w:szCs w:val="16"/>
          <w:vertAlign w:val="superscript"/>
          <w:lang w:val="hy-AM"/>
        </w:rPr>
        <w:footnoteRef/>
      </w:r>
      <w:r w:rsidRPr="00EE69B8">
        <w:rPr>
          <w:rFonts w:ascii="Sylfaen" w:hAnsi="Sylfaen"/>
          <w:sz w:val="14"/>
          <w:szCs w:val="16"/>
          <w:lang w:val="hy-AM"/>
        </w:rPr>
        <w:t xml:space="preserve"> </w:t>
      </w:r>
      <w:r w:rsidRPr="00EE69B8">
        <w:rPr>
          <w:rFonts w:ascii="Sylfaen" w:hAnsi="Sylfaen"/>
          <w:sz w:val="14"/>
          <w:szCs w:val="16"/>
          <w:lang w:val="hy-AM"/>
        </w:rPr>
        <w:t xml:space="preserve">Եթե </w:t>
      </w:r>
      <w:r w:rsidRPr="00EE69B8">
        <w:rPr>
          <w:rFonts w:ascii="Sylfaen" w:hAnsi="Sylfaen"/>
          <w:sz w:val="14"/>
          <w:szCs w:val="16"/>
          <w:lang w:val="hy-AM"/>
        </w:rPr>
        <w:t>որևէ հավելյալ ծառայություն ներառված է, ապա տվյալ սակագնային փաթեթի շրջանակներում տվյալ հավելյալ  ծառայության համար չի գանձվում սահմանված ամսավճարը:</w:t>
      </w:r>
      <w:r>
        <w:rPr>
          <w:rFonts w:ascii="Sylfaen" w:hAnsi="Sylfaen"/>
          <w:sz w:val="14"/>
          <w:szCs w:val="16"/>
          <w:lang w:val="hy-AM"/>
        </w:rPr>
        <w:t xml:space="preserve"> </w:t>
      </w:r>
      <w:r w:rsidRPr="00EE69B8">
        <w:rPr>
          <w:rFonts w:ascii="Sylfaen" w:hAnsi="Sylfaen"/>
          <w:sz w:val="14"/>
          <w:szCs w:val="16"/>
          <w:lang w:val="hy-AM"/>
        </w:rPr>
        <w:t xml:space="preserve">«Տուրբո» ծառայությունը մատուցվում է բաժանորդի ընտրությամբ, այիսնքն անկախ այն բանից «Տուրբո» ծառայությունը ներառված է թե հասանելի տվյալ սակագնային փաթեթի շրջանակում, վերջինս տրամադրվում է բացառապես Բաժանորդի ցանկությամբ: Եթե </w:t>
      </w:r>
      <w:r w:rsidRPr="00EE69B8">
        <w:rPr>
          <w:sz w:val="14"/>
          <w:szCs w:val="16"/>
          <w:lang w:val="hy-AM"/>
        </w:rPr>
        <w:t>​​</w:t>
      </w:r>
      <w:r w:rsidRPr="00EE69B8">
        <w:rPr>
          <w:rFonts w:ascii="Sylfaen" w:hAnsi="Sylfaen"/>
          <w:sz w:val="14"/>
          <w:szCs w:val="16"/>
          <w:lang w:val="hy-AM"/>
        </w:rPr>
        <w:t xml:space="preserve">բաժանորդը չի ցանկանում ակտիվացնել «Տուրբո» ծառայությունը, այն չի ակտիվանում, և համապատասխանաբար «TurboSpeed </w:t>
      </w:r>
      <w:r w:rsidRPr="00EE69B8">
        <w:rPr>
          <w:sz w:val="14"/>
          <w:szCs w:val="16"/>
          <w:lang w:val="hy-AM"/>
        </w:rPr>
        <w:t>​​</w:t>
      </w:r>
      <w:r w:rsidRPr="00EE69B8">
        <w:rPr>
          <w:rFonts w:ascii="Sylfaen" w:hAnsi="Sylfaen"/>
          <w:sz w:val="14"/>
          <w:szCs w:val="16"/>
          <w:lang w:val="hy-AM"/>
        </w:rPr>
        <w:t xml:space="preserve">AX1800» սարքը չի տեղադրվում բաժանորդային  հասցեում։ </w:t>
      </w:r>
    </w:p>
  </w:footnote>
  <w:footnote w:id="4">
    <w:p w:rsidR="00A61542" w:rsidRPr="00877084" w:rsidRDefault="00A61542" w:rsidP="00A61542">
      <w:pPr>
        <w:pStyle w:val="FootnoteText"/>
        <w:jc w:val="both"/>
        <w:rPr>
          <w:lang w:val="hy-AM"/>
        </w:rPr>
      </w:pPr>
      <w:r w:rsidRPr="00DC0D1E">
        <w:rPr>
          <w:rFonts w:ascii="Sylfaen" w:hAnsi="Sylfaen"/>
          <w:sz w:val="14"/>
          <w:szCs w:val="16"/>
          <w:vertAlign w:val="superscript"/>
          <w:lang w:val="hy-AM"/>
        </w:rPr>
        <w:footnoteRef/>
      </w:r>
      <w:r w:rsidRPr="00DC0D1E">
        <w:rPr>
          <w:rFonts w:ascii="Sylfaen" w:hAnsi="Sylfaen"/>
          <w:sz w:val="14"/>
          <w:szCs w:val="16"/>
          <w:vertAlign w:val="superscript"/>
          <w:lang w:val="hy-AM"/>
        </w:rPr>
        <w:t xml:space="preserve"> </w:t>
      </w:r>
      <w:r w:rsidRPr="00877084">
        <w:rPr>
          <w:rFonts w:ascii="Sylfaen" w:hAnsi="Sylfaen"/>
          <w:sz w:val="14"/>
          <w:szCs w:val="16"/>
          <w:lang w:val="hy-AM"/>
        </w:rPr>
        <w:t xml:space="preserve">Բաժանորդի </w:t>
      </w:r>
      <w:r w:rsidRPr="00877084">
        <w:rPr>
          <w:rFonts w:ascii="Sylfaen" w:hAnsi="Sylfaen"/>
          <w:sz w:val="14"/>
          <w:szCs w:val="16"/>
          <w:lang w:val="hy-AM"/>
        </w:rPr>
        <w:t xml:space="preserve">ինտերնետի արագությունը չի կարող լինել ավելի, քան </w:t>
      </w:r>
      <w:r>
        <w:rPr>
          <w:rFonts w:ascii="Sylfaen" w:hAnsi="Sylfaen"/>
          <w:sz w:val="14"/>
          <w:szCs w:val="16"/>
          <w:lang w:val="hy-AM"/>
        </w:rPr>
        <w:t>500</w:t>
      </w:r>
      <w:r w:rsidRPr="00877084">
        <w:rPr>
          <w:rFonts w:ascii="Sylfaen" w:hAnsi="Sylfaen"/>
          <w:sz w:val="14"/>
          <w:szCs w:val="16"/>
          <w:lang w:val="hy-AM"/>
        </w:rPr>
        <w:t xml:space="preserve"> (</w:t>
      </w:r>
      <w:r>
        <w:rPr>
          <w:rFonts w:ascii="Sylfaen" w:hAnsi="Sylfaen"/>
          <w:sz w:val="14"/>
          <w:szCs w:val="16"/>
          <w:lang w:val="hy-AM"/>
        </w:rPr>
        <w:t>հինգ</w:t>
      </w:r>
      <w:r w:rsidRPr="00877084">
        <w:rPr>
          <w:rFonts w:ascii="Sylfaen" w:hAnsi="Sylfaen"/>
          <w:sz w:val="14"/>
          <w:szCs w:val="16"/>
          <w:lang w:val="hy-AM"/>
        </w:rPr>
        <w:t xml:space="preserve"> հարյուր) Մբ/վ: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21" w:rsidRDefault="00665629">
    <w:pPr>
      <w:pStyle w:val="Header"/>
    </w:pPr>
    <w:r w:rsidRPr="007B3E3A">
      <w:rPr>
        <w:noProof/>
      </w:rPr>
      <w:drawing>
        <wp:inline distT="0" distB="0" distL="0" distR="0" wp14:anchorId="6CFC9DA1" wp14:editId="32381037">
          <wp:extent cx="990600" cy="457200"/>
          <wp:effectExtent l="0" t="0" r="0" b="0"/>
          <wp:docPr id="1" name="Picture 1" descr="https://www.rtarmenia.am/resources/rtarmenia/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tarmenia.am/resources/rtarmenia/cs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793"/>
    <w:multiLevelType w:val="multilevel"/>
    <w:tmpl w:val="C3D41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1C5F22"/>
    <w:multiLevelType w:val="hybridMultilevel"/>
    <w:tmpl w:val="E76CC8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51013"/>
    <w:multiLevelType w:val="multilevel"/>
    <w:tmpl w:val="CCF2179E"/>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3" w15:restartNumberingAfterBreak="0">
    <w:nsid w:val="38B9444D"/>
    <w:multiLevelType w:val="hybridMultilevel"/>
    <w:tmpl w:val="F6001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6B3F4F"/>
    <w:multiLevelType w:val="multilevel"/>
    <w:tmpl w:val="E88CDF5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47432372"/>
    <w:multiLevelType w:val="hybridMultilevel"/>
    <w:tmpl w:val="0F429D0E"/>
    <w:lvl w:ilvl="0" w:tplc="57829DA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331478A"/>
    <w:multiLevelType w:val="hybridMultilevel"/>
    <w:tmpl w:val="BB74D9EA"/>
    <w:lvl w:ilvl="0" w:tplc="11AEBF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41"/>
    <w:rsid w:val="005C2F9E"/>
    <w:rsid w:val="00665629"/>
    <w:rsid w:val="00A61542"/>
    <w:rsid w:val="00C7282C"/>
    <w:rsid w:val="00D2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60E4E-32EF-4A11-A470-C170C54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42"/>
    <w:pPr>
      <w:ind w:left="720"/>
      <w:contextualSpacing/>
    </w:pPr>
  </w:style>
  <w:style w:type="paragraph" w:styleId="FootnoteText">
    <w:name w:val="footnote text"/>
    <w:basedOn w:val="Normal"/>
    <w:link w:val="FootnoteTextChar"/>
    <w:uiPriority w:val="99"/>
    <w:unhideWhenUsed/>
    <w:rsid w:val="00A61542"/>
    <w:rPr>
      <w:sz w:val="20"/>
      <w:szCs w:val="20"/>
    </w:rPr>
  </w:style>
  <w:style w:type="character" w:customStyle="1" w:styleId="FootnoteTextChar">
    <w:name w:val="Footnote Text Char"/>
    <w:basedOn w:val="DefaultParagraphFont"/>
    <w:link w:val="FootnoteText"/>
    <w:uiPriority w:val="99"/>
    <w:rsid w:val="00A61542"/>
    <w:rPr>
      <w:rFonts w:ascii="Times New Roman" w:eastAsia="Times New Roman" w:hAnsi="Times New Roman" w:cs="Times New Roman"/>
      <w:sz w:val="20"/>
      <w:szCs w:val="20"/>
    </w:rPr>
  </w:style>
  <w:style w:type="character" w:styleId="FootnoteReference">
    <w:name w:val="footnote reference"/>
    <w:uiPriority w:val="99"/>
    <w:semiHidden/>
    <w:unhideWhenUsed/>
    <w:rsid w:val="00A61542"/>
    <w:rPr>
      <w:vertAlign w:val="superscript"/>
    </w:rPr>
  </w:style>
  <w:style w:type="paragraph" w:styleId="Header">
    <w:name w:val="header"/>
    <w:basedOn w:val="Normal"/>
    <w:link w:val="HeaderChar"/>
    <w:uiPriority w:val="99"/>
    <w:unhideWhenUsed/>
    <w:rsid w:val="00A61542"/>
    <w:pPr>
      <w:tabs>
        <w:tab w:val="center" w:pos="4844"/>
        <w:tab w:val="right" w:pos="9689"/>
      </w:tabs>
    </w:pPr>
  </w:style>
  <w:style w:type="character" w:customStyle="1" w:styleId="HeaderChar">
    <w:name w:val="Header Char"/>
    <w:basedOn w:val="DefaultParagraphFont"/>
    <w:link w:val="Header"/>
    <w:uiPriority w:val="99"/>
    <w:rsid w:val="00A615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Sahakyan</dc:creator>
  <cp:keywords/>
  <dc:description/>
  <cp:lastModifiedBy>Lilit Sahakyan</cp:lastModifiedBy>
  <cp:revision>2</cp:revision>
  <dcterms:created xsi:type="dcterms:W3CDTF">2022-12-02T10:20:00Z</dcterms:created>
  <dcterms:modified xsi:type="dcterms:W3CDTF">2022-12-02T10:36:00Z</dcterms:modified>
</cp:coreProperties>
</file>